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42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en-US"/>
        </w:rPr>
      </w:pPr>
      <w:r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en-US"/>
        </w:rPr>
        <w:t>乌梢蛇配方颗粒</w:t>
      </w:r>
    </w:p>
    <w:p w14:paraId="5126D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en-US"/>
        </w:rPr>
        <w:t>Wushaoshe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 xml:space="preserve"> Peifangkeli</w:t>
      </w:r>
    </w:p>
    <w:p w14:paraId="0B9227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baseline"/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eastAsia="zh-CN"/>
        </w:rPr>
      </w:pPr>
    </w:p>
    <w:p w14:paraId="5B0E8B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【来源】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本品为游蛇科动物乌梢蛇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i/>
          <w:i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Zaocys dhumnades</w:t>
      </w:r>
      <w:r>
        <w:rPr>
          <w:rFonts w:hint="default" w:ascii="Times New Roman" w:hAnsi="Times New Roman" w:eastAsia="宋体" w:cs="Times New Roman"/>
          <w:i/>
          <w:i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(Cantor)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的干燥体经炮制并按标准汤剂的主要质量指标加工制成的配方颗粒。</w:t>
      </w:r>
    </w:p>
    <w:p w14:paraId="6B254D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【制法】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取乌梢蛇饮片3500g，加水煎煮，滤过，滤液浓缩成清膏（干浸膏出膏率为14.5%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21.0%），加入辅料适量，干燥（或干燥，粉碎），再加入辅料适量，混匀，制粒，制成1000g，即得。</w:t>
      </w:r>
    </w:p>
    <w:p w14:paraId="66A9AC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【性状】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本品为浅黄色至棕黄色的颗粒；气腥，味淡。</w:t>
      </w:r>
    </w:p>
    <w:p w14:paraId="7DC6BD9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【鉴别】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1）取本品适量，研细，取0.5g，加甲醇10ml，超声处理30分钟，滤过，滤液作为供试品溶液。另取乌梢蛇对照药材1g，同法制成对照药材溶液。照薄层色谱法（中国药典2020年版通则0502）试验，吸取供试品溶液1µl、对照药材溶液8µl，分别点于同一硅胶G薄层板上，以正丁醇-乙醇-冰醋酸-水（4∶1∶1∶0.2）为展开剂，展开，取出，晾干，喷以茚三酮试液，在105℃加热至斑点显色清晰。供试品色谱中，在与对照药材色谱相应的位置上，显相同颜色的斑点。</w:t>
      </w:r>
    </w:p>
    <w:p w14:paraId="79803B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（2）聚合酶链式反应法。</w:t>
      </w:r>
    </w:p>
    <w:p w14:paraId="757853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模板DNA提取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取本品1.0g，充分研磨使成粉末，取粉末100mg置1.5ml离心管中，加入消化液275μl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[细胞核裂解液200μl，0.5mol/L乙二胺四醋酸二钠溶液50μl，蛋白酶K(20mg/ml)20μl，RNA酶溶液5μl]，在55℃水浴保温1小时，加入裂解缓冲液250μl，混匀，离心（转速为每分钟10000转）3分钟，取上清液加到DNA纯化柱中，离心（转速为每分钟10000转）3分钟；弃去过滤液，加入洗脱液800μl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[5mol/L醋酸钾溶液26μl，1mol/LTris-盐酸溶液（pH7.5）18μl，0.5mol/L乙二胺四醋酸二钠溶液（pH8.0）3μl，无水乙醇480μ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l，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灭菌双蒸水273μl]，离心（转速为每分钟10000转）1分钟；弃去过滤液，用上述洗脱液反复洗脱3次，每次离心（转速为每分钟10000转）1分钟；弃去过滤液，再离心2分钟，将DNA纯化柱转移入另一离心管中，加入无菌双蒸水50μl，室温放置2分钟后，离心（转速为每分钟10000转）2分钟，取上清液，作为供试品溶液，置零下20℃保存备用。另取乌梢蛇对照药材适量，充分研磨使成细粉，取粉末100mg，同法制成对照药材模板DNA溶液，置4℃保存或置零下20℃长期保存。</w:t>
      </w:r>
    </w:p>
    <w:p w14:paraId="534F7BD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PCR反应鉴别引物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：上游5'-GCGAAAGCTCGACCTAGCAAGGGGACCACA-3'和下游5'-CAGGCTCCTCTAGGTTGTTATGGGGTACCG-3'。PCR反应体系：在100μl离心管中进行，反应总体积为25μl，反应体系包括10×PCR缓冲液2.5μl，dNTP（2.5mmol/L）2.0μl，鉴别引物（10μmol/L）各0.3μl，高保真Taq DNA聚合酶（5U/μl）0.3μl，模板（100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400ng）1.0μl，无菌双蒸水18.6μl。将离心管置PCR仪上，PCR反应参数：95°C预变性5分钟：循环反应30次（95℃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30秒，63℃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45秒），72℃延伸5分钟。另取无菌双蒸水同上述PCR反应法操作，作为空白对照。</w:t>
      </w:r>
    </w:p>
    <w:p w14:paraId="48C41A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电泳检测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照琼脂糖凝胶电泳法（中国药典2020年版通则0541），胶浓度为1.5%，胶中加入核酸凝胶染色剂GelRed；供试品与对照药材PCR反应溶液的上样量分别为6μl，DNA分子量标记上样量为6μl（90ng/μl）。电泳结束后，取凝胶片在凝胶成像仪上或紫外透射仪上检视。供试品凝胶电泳图谱中，在与对照药材凝胶电泳图谱相应的位置上，在300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400bp应有单一DNA条带。</w:t>
      </w:r>
    </w:p>
    <w:p w14:paraId="4EB409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【特征图谱】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照高效液相色谱法（中国药典2020年版通则0512）测定。</w:t>
      </w:r>
    </w:p>
    <w:p w14:paraId="700DA3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色谱条件与系统适用性试验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同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【含量测定】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项。</w:t>
      </w:r>
    </w:p>
    <w:p w14:paraId="17DBE3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参照物溶液的制备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取乌梢蛇对照药材1g，加10%甲醇25ml，超声处理（功率250W，频率40kHz）30分钟，摇匀，滤过，取续滤液，作为对照药材参照物溶液。另取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【含量测定】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项下的对照品溶液，作为对照品参照物溶液。再取尿嘧啶对照品、鸟嘌呤对照品、黄嘌呤对照品、肌苷对照品、鸟苷对照品适量，加10%甲醇制成每1ml各含10μg的混合溶液，作为对照品参照物溶液。</w:t>
      </w:r>
    </w:p>
    <w:p w14:paraId="0254E5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供试品溶液的制备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同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【含量测定】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项。</w:t>
      </w:r>
    </w:p>
    <w:p w14:paraId="13B541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测定法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分别精密吸取参照物溶液与供试品溶液各10μl，注入液相色谱仪，测定，即得。</w:t>
      </w:r>
    </w:p>
    <w:p w14:paraId="41EA3A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供试品色谱中应呈现7个特征峰，并应与对照药材参照物色谱中的7个特征峰保留时间相对应，其中峰1、峰3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峰7应分别与相应对照品参照物峰保留时间相对应；与次黄嘌呤对照品参照物峰相对应的峰为S峰，计算峰2与S峰的相对保留时间，其相对保留时间应在规定值的±10%范围之内，规定值为：0.69（峰2）。</w:t>
      </w:r>
    </w:p>
    <w:p w14:paraId="0A1EB5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1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1"/>
          <w:szCs w:val="24"/>
          <w:lang w:eastAsia="en-US"/>
        </w:rPr>
        <w:drawing>
          <wp:inline distT="0" distB="0" distL="0" distR="0">
            <wp:extent cx="5219700" cy="2122805"/>
            <wp:effectExtent l="0" t="0" r="0" b="10795"/>
            <wp:docPr id="4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122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61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lang w:val="en-US" w:eastAsia="en-US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lang w:val="en-US" w:eastAsia="en-US"/>
        </w:rPr>
        <w:t>对照特征图谱</w:t>
      </w:r>
      <w:bookmarkStart w:id="0" w:name="_GoBack"/>
      <w:bookmarkEnd w:id="0"/>
    </w:p>
    <w:p w14:paraId="2755D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en-US"/>
        </w:rPr>
        <w:t>峰1：尿嘧啶；峰3：鸟嘌呤；峰4（S）：次黄嘌呤；峰5：黄嘌呤；峰6：肌苷；峰7：鸟苷</w:t>
      </w:r>
    </w:p>
    <w:p w14:paraId="78A57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en-US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色谱柱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en-US"/>
        </w:rPr>
        <w:t>：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 xml:space="preserve">ZORBAX 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en-US"/>
        </w:rPr>
        <w:t>SB-Aq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en-US"/>
        </w:rPr>
        <w:t>4.6mm×250mm，5μm</w:t>
      </w:r>
    </w:p>
    <w:p w14:paraId="1284B3F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【检查】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应符合颗粒剂项下有关的各项规定（中国药典2020年版通则0104）。</w:t>
      </w:r>
    </w:p>
    <w:p w14:paraId="7CB1E8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【浸出物】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取本品适量，研细，取约2g，精密称定，精密加入乙醇100ml，照醇溶性</w:t>
      </w:r>
      <w:r>
        <w:rPr>
          <w:rFonts w:hint="default" w:ascii="Times New Roman" w:hAnsi="Times New Roman" w:eastAsia="宋体" w:cs="Times New Roman"/>
          <w:b w:val="0"/>
          <w:i w:val="0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浸出物测定法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（中国药典2020年版通则2201）项下的热浸法测定，不得少于8.0%。</w:t>
      </w:r>
    </w:p>
    <w:p w14:paraId="673864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【含量测定】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照高效液相色谱法（中国药典2020年版通则0512）测定。</w:t>
      </w:r>
    </w:p>
    <w:p w14:paraId="697D25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色谱条件与系统适用性试验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以十八烷基硅烷键合硅胶为填充剂（柱长为250mm，内径为4.6mm，粒径为5μm）；以乙腈为流动相A，以0.3%醋酸溶液为流动相B，按下表中的规定进行梯度洗脱；流速为每分钟1.0ml；柱温为25℃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；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检测波长为254nm。理论板数按次黄嘌呤峰计算应不低于5000。</w:t>
      </w:r>
    </w:p>
    <w:tbl>
      <w:tblPr>
        <w:tblStyle w:val="5"/>
        <w:tblW w:w="4913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20"/>
        <w:gridCol w:w="2720"/>
        <w:gridCol w:w="2721"/>
      </w:tblGrid>
      <w:tr w14:paraId="6285060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bottom w:val="single" w:color="auto" w:sz="8" w:space="0"/>
            </w:tcBorders>
            <w:vAlign w:val="center"/>
          </w:tcPr>
          <w:p w14:paraId="30DE9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eastAsia="en-US"/>
              </w:rPr>
              <w:t>时间（分钟）</w:t>
            </w:r>
          </w:p>
        </w:tc>
        <w:tc>
          <w:tcPr>
            <w:tcW w:w="1666" w:type="pct"/>
            <w:tcBorders>
              <w:bottom w:val="single" w:color="auto" w:sz="8" w:space="0"/>
            </w:tcBorders>
            <w:vAlign w:val="center"/>
          </w:tcPr>
          <w:p w14:paraId="13897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流动相A(%)</w:t>
            </w:r>
          </w:p>
        </w:tc>
        <w:tc>
          <w:tcPr>
            <w:tcW w:w="1666" w:type="pct"/>
            <w:tcBorders>
              <w:bottom w:val="single" w:color="auto" w:sz="8" w:space="0"/>
            </w:tcBorders>
            <w:vAlign w:val="center"/>
          </w:tcPr>
          <w:p w14:paraId="18C92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流动相B(%)</w:t>
            </w:r>
          </w:p>
        </w:tc>
      </w:tr>
      <w:tr w14:paraId="17A8A8E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single" w:color="auto" w:sz="8" w:space="0"/>
              <w:tl2br w:val="nil"/>
              <w:tr2bl w:val="nil"/>
            </w:tcBorders>
            <w:vAlign w:val="center"/>
          </w:tcPr>
          <w:p w14:paraId="5E283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666" w:type="pct"/>
            <w:tcBorders>
              <w:top w:val="single" w:color="auto" w:sz="8" w:space="0"/>
              <w:tl2br w:val="nil"/>
              <w:tr2bl w:val="nil"/>
            </w:tcBorders>
            <w:vAlign w:val="center"/>
          </w:tcPr>
          <w:p w14:paraId="7560F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666" w:type="pct"/>
            <w:tcBorders>
              <w:top w:val="single" w:color="auto" w:sz="8" w:space="0"/>
              <w:tl2br w:val="nil"/>
              <w:tr2bl w:val="nil"/>
            </w:tcBorders>
            <w:vAlign w:val="center"/>
          </w:tcPr>
          <w:p w14:paraId="197DC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100</w:t>
            </w:r>
          </w:p>
        </w:tc>
      </w:tr>
      <w:tr w14:paraId="595A5DA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59B2B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9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7C2EB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0→3</w:t>
            </w:r>
          </w:p>
        </w:tc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0EDC1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100→97</w:t>
            </w:r>
          </w:p>
        </w:tc>
      </w:tr>
      <w:tr w14:paraId="7E9FC98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0344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22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26</w:t>
            </w:r>
          </w:p>
        </w:tc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3E819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3→7</w:t>
            </w:r>
          </w:p>
        </w:tc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62439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97→93</w:t>
            </w:r>
          </w:p>
        </w:tc>
      </w:tr>
      <w:tr w14:paraId="1E5D2A8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27634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26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04BE3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7→13</w:t>
            </w:r>
          </w:p>
        </w:tc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1FA4D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93→87</w:t>
            </w:r>
          </w:p>
        </w:tc>
      </w:tr>
      <w:tr w14:paraId="6B1B4E9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1428D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30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~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35</w:t>
            </w:r>
          </w:p>
        </w:tc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1C351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13→20</w:t>
            </w:r>
          </w:p>
        </w:tc>
        <w:tc>
          <w:tcPr>
            <w:tcW w:w="1666" w:type="pct"/>
            <w:tcBorders>
              <w:tl2br w:val="nil"/>
              <w:tr2bl w:val="nil"/>
            </w:tcBorders>
            <w:vAlign w:val="center"/>
          </w:tcPr>
          <w:p w14:paraId="717C2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en-US"/>
              </w:rPr>
              <w:t>87→80</w:t>
            </w:r>
          </w:p>
        </w:tc>
      </w:tr>
    </w:tbl>
    <w:p w14:paraId="1A9B28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对照品溶液的制备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取次黄嘌呤对照品适量，精密称定，加10%甲醇制成每1ml含50μg的溶液，即得。</w:t>
      </w:r>
    </w:p>
    <w:p w14:paraId="76E8EF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供试品溶液的制备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取本品适量，研细，取约0.2g，精密称定，置具塞锥形瓶中，精密加入10%甲醇25ml，称定重量，超声处理（功率300W，频率40kHz）30分钟，放冷，再称定重量，用10%甲醇补足减失的重量，摇匀，滤过，取续滤液，即得。</w:t>
      </w:r>
    </w:p>
    <w:p w14:paraId="418704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测定法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分别精密吸取对照品溶液与供试品溶液各10μl，注入液相色谱仪，测定，即得。</w:t>
      </w:r>
    </w:p>
    <w:p w14:paraId="27BB87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本品每1g含次黄嘌呤（C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vertAlign w:val="subscript"/>
          <w:lang w:val="en-US" w:eastAsia="en-US" w:bidi="ar-SA"/>
        </w:rPr>
        <w:t>5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H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vertAlign w:val="subscript"/>
          <w:lang w:val="en-US" w:eastAsia="en-US" w:bidi="ar-SA"/>
        </w:rPr>
        <w:t>4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N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vertAlign w:val="subscript"/>
          <w:lang w:val="en-US" w:eastAsia="en-US" w:bidi="ar-SA"/>
        </w:rPr>
        <w:t>4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O）应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为1.5mg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~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en-US" w:bidi="ar-SA"/>
        </w:rPr>
        <w:t>5.0mg</w:t>
      </w:r>
      <w:r>
        <w:rPr>
          <w:rFonts w:hint="default" w:ascii="Times New Roman" w:hAnsi="Times New Roman" w:eastAsia="宋体" w:cs="Times New Roman"/>
          <w:b w:val="0"/>
          <w:i w:val="0"/>
          <w:snapToGrid w:val="0"/>
          <w:color w:val="000000"/>
          <w:spacing w:val="0"/>
          <w:w w:val="100"/>
          <w:kern w:val="0"/>
          <w:position w:val="0"/>
          <w:sz w:val="24"/>
          <w:szCs w:val="24"/>
          <w:highlight w:val="none"/>
          <w:lang w:val="en-US" w:eastAsia="zh-CN" w:bidi="ar-SA"/>
        </w:rPr>
        <w:t>。</w:t>
      </w:r>
    </w:p>
    <w:p w14:paraId="752F3D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【规格】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每1g配方颗粒相当于饮片3.5g</w:t>
      </w:r>
    </w:p>
    <w:p w14:paraId="666952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8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【贮藏】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密封。</w:t>
      </w:r>
    </w:p>
    <w:p w14:paraId="24EED0C7">
      <w:pPr>
        <w:keepNext w:val="0"/>
        <w:keepLines w:val="0"/>
        <w:pageBreakBefore w:val="0"/>
        <w:overflowPunct/>
        <w:topLinePunct w:val="0"/>
        <w:bidi w:val="0"/>
        <w:adjustRightInd/>
        <w:snapToGrid/>
        <w:spacing w:line="360" w:lineRule="auto"/>
        <w:jc w:val="both"/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64CD31D3"/>
    <w:rsid w:val="06C510AB"/>
    <w:rsid w:val="0D2E35AF"/>
    <w:rsid w:val="103A17B0"/>
    <w:rsid w:val="120A0DB7"/>
    <w:rsid w:val="155008AD"/>
    <w:rsid w:val="1A35310B"/>
    <w:rsid w:val="1D9C6312"/>
    <w:rsid w:val="29C9741A"/>
    <w:rsid w:val="30781792"/>
    <w:rsid w:val="39247577"/>
    <w:rsid w:val="3B3D61BD"/>
    <w:rsid w:val="3BD10C2F"/>
    <w:rsid w:val="4C9215C1"/>
    <w:rsid w:val="529214B7"/>
    <w:rsid w:val="5359794D"/>
    <w:rsid w:val="54CD4A28"/>
    <w:rsid w:val="56E5461B"/>
    <w:rsid w:val="59A53585"/>
    <w:rsid w:val="5EBB1C78"/>
    <w:rsid w:val="64CD31D3"/>
    <w:rsid w:val="6775087C"/>
    <w:rsid w:val="734E25B9"/>
    <w:rsid w:val="745A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jc w:val="left"/>
      <w:outlineLvl w:val="0"/>
    </w:pPr>
    <w:rPr>
      <w:rFonts w:cs="Times New Roman"/>
      <w:b/>
      <w:bCs/>
      <w:kern w:val="44"/>
      <w:sz w:val="28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2023</Words>
  <Characters>2662</Characters>
  <Lines>0</Lines>
  <Paragraphs>0</Paragraphs>
  <TotalTime>2424</TotalTime>
  <ScaleCrop>false</ScaleCrop>
  <LinksUpToDate>false</LinksUpToDate>
  <CharactersWithSpaces>2691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2024-09-03T01:40:00Z</dcterms:created>
  <dc:creator>爱迪生1990</dc:creator>
  <cp:lastModifiedBy>爱迪生1990</cp:lastModifiedBy>
  <dcterms:modified xsi:type="dcterms:W3CDTF">2024-09-13T10:43:31Z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C078108968544656B06D64D76EE2C90D_11</vt:lpwstr>
  </property>
</Properties>
</file>